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D347" w14:textId="21DCBC8F" w:rsidR="00D76FD4" w:rsidRPr="00D76FD4" w:rsidRDefault="00D76FD4" w:rsidP="00D76FD4">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D76FD4">
        <w:rPr>
          <w:rFonts w:ascii="Century Gothic" w:eastAsiaTheme="majorEastAsia" w:hAnsi="Century Gothic" w:cstheme="majorBidi"/>
          <w:iCs/>
          <w:sz w:val="22"/>
          <w:szCs w:val="22"/>
          <w:lang w:val="en-US"/>
        </w:rPr>
        <w:t>CEFR Companion Volume implementation toolbox</w:t>
      </w:r>
    </w:p>
    <w:p w14:paraId="1C8810B2" w14:textId="39E452F3" w:rsidR="00F972F5" w:rsidRPr="00D76FD4" w:rsidRDefault="00D76FD4" w:rsidP="00D76FD4">
      <w:pPr>
        <w:pStyle w:val="Titl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contextualSpacing w:val="0"/>
        <w:jc w:val="center"/>
        <w:rPr>
          <w:rFonts w:ascii="Century Gothic" w:eastAsiaTheme="majorEastAsia" w:hAnsi="Century Gothic" w:cstheme="majorBidi"/>
          <w:b/>
          <w:iCs w:val="0"/>
          <w:color w:val="auto"/>
          <w:spacing w:val="-7"/>
        </w:rPr>
      </w:pPr>
      <w:r w:rsidRPr="00D76FD4">
        <w:rPr>
          <w:rFonts w:ascii="Century Gothic" w:eastAsiaTheme="majorEastAsia" w:hAnsi="Century Gothic" w:cstheme="majorBidi"/>
          <w:b/>
          <w:iCs w:val="0"/>
          <w:color w:val="auto"/>
          <w:spacing w:val="-7"/>
        </w:rPr>
        <w:t xml:space="preserve">Example 2: </w:t>
      </w:r>
      <w:r>
        <w:rPr>
          <w:rFonts w:ascii="Century Gothic" w:eastAsiaTheme="majorEastAsia" w:hAnsi="Century Gothic" w:cstheme="majorBidi"/>
          <w:b/>
          <w:iCs w:val="0"/>
          <w:color w:val="auto"/>
          <w:spacing w:val="-7"/>
        </w:rPr>
        <w:br/>
      </w:r>
      <w:r w:rsidRPr="00D76FD4">
        <w:rPr>
          <w:rFonts w:ascii="Century Gothic" w:eastAsiaTheme="majorEastAsia" w:hAnsi="Century Gothic" w:cstheme="majorBidi"/>
          <w:b/>
          <w:iCs w:val="0"/>
          <w:color w:val="auto"/>
          <w:spacing w:val="-7"/>
        </w:rPr>
        <w:t>Mediating texts, mediating concepts</w:t>
      </w:r>
    </w:p>
    <w:tbl>
      <w:tblPr>
        <w:tblStyle w:val="TableGrid"/>
        <w:tblW w:w="0" w:type="auto"/>
        <w:tblLook w:val="04A0" w:firstRow="1" w:lastRow="0" w:firstColumn="1" w:lastColumn="0" w:noHBand="0" w:noVBand="1"/>
      </w:tblPr>
      <w:tblGrid>
        <w:gridCol w:w="9016"/>
      </w:tblGrid>
      <w:tr w:rsidR="00F972F5" w14:paraId="1F46D895" w14:textId="77777777">
        <w:tc>
          <w:tcPr>
            <w:tcW w:w="9016" w:type="dxa"/>
          </w:tcPr>
          <w:p w14:paraId="2AF54AE4" w14:textId="77777777" w:rsidR="00F972F5" w:rsidRDefault="00D76FD4">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en-GB"/>
              </w:rPr>
            </w:pPr>
            <w:r>
              <w:rPr>
                <w:b/>
                <w:sz w:val="22"/>
                <w:szCs w:val="22"/>
                <w:lang w:val="en-GB"/>
              </w:rPr>
              <w:t>Title: Energy Case Study</w:t>
            </w:r>
          </w:p>
        </w:tc>
      </w:tr>
      <w:tr w:rsidR="00F972F5" w14:paraId="59CC5CCB" w14:textId="77777777">
        <w:tc>
          <w:tcPr>
            <w:tcW w:w="9016" w:type="dxa"/>
          </w:tcPr>
          <w:p w14:paraId="7BEF981A"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Language: </w:t>
            </w:r>
            <w:r>
              <w:rPr>
                <w:sz w:val="22"/>
                <w:szCs w:val="22"/>
                <w:lang w:val="en-GB"/>
              </w:rPr>
              <w:tab/>
              <w:t>English</w:t>
            </w:r>
            <w:r>
              <w:rPr>
                <w:sz w:val="22"/>
                <w:szCs w:val="22"/>
                <w:lang w:val="en-GB"/>
              </w:rPr>
              <w:tab/>
            </w:r>
          </w:p>
          <w:p w14:paraId="31AB24B1" w14:textId="77777777" w:rsidR="00F972F5" w:rsidRDefault="00D76FD4">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en-GB"/>
              </w:rPr>
            </w:pPr>
            <w:r>
              <w:rPr>
                <w:sz w:val="22"/>
                <w:szCs w:val="22"/>
                <w:lang w:val="en-GB"/>
              </w:rPr>
              <w:t xml:space="preserve">CEFR Level: </w:t>
            </w:r>
            <w:r>
              <w:rPr>
                <w:sz w:val="22"/>
                <w:szCs w:val="22"/>
                <w:lang w:val="en-GB"/>
              </w:rPr>
              <w:tab/>
              <w:t xml:space="preserve">C1 </w:t>
            </w:r>
          </w:p>
          <w:p w14:paraId="0DAB6EE6" w14:textId="77777777" w:rsidR="00F972F5" w:rsidRDefault="00D76FD4">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en-GB"/>
              </w:rPr>
            </w:pPr>
            <w:r>
              <w:rPr>
                <w:sz w:val="22"/>
                <w:szCs w:val="22"/>
                <w:lang w:val="en-GB"/>
              </w:rPr>
              <w:t xml:space="preserve">Target group: </w:t>
            </w:r>
            <w:r>
              <w:rPr>
                <w:sz w:val="22"/>
                <w:szCs w:val="22"/>
                <w:lang w:val="en-GB"/>
              </w:rPr>
              <w:tab/>
              <w:t>students at university or in vocational training</w:t>
            </w:r>
          </w:p>
          <w:p w14:paraId="04CA23CF" w14:textId="77777777" w:rsidR="00F972F5" w:rsidRDefault="00D76FD4">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en-GB"/>
              </w:rPr>
            </w:pPr>
            <w:r>
              <w:rPr>
                <w:sz w:val="22"/>
                <w:szCs w:val="22"/>
                <w:lang w:val="en-GB"/>
              </w:rPr>
              <w:t xml:space="preserve">Purpose: </w:t>
            </w:r>
            <w:r>
              <w:rPr>
                <w:sz w:val="22"/>
                <w:szCs w:val="22"/>
                <w:lang w:val="en-GB"/>
              </w:rPr>
              <w:tab/>
              <w:t>Teaching</w:t>
            </w:r>
          </w:p>
        </w:tc>
      </w:tr>
      <w:tr w:rsidR="00F972F5" w14:paraId="6B8DB842" w14:textId="77777777">
        <w:tc>
          <w:tcPr>
            <w:tcW w:w="9016" w:type="dxa"/>
          </w:tcPr>
          <w:p w14:paraId="1010B21D"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Authors: </w:t>
            </w:r>
            <w:proofErr w:type="spellStart"/>
            <w:r>
              <w:rPr>
                <w:sz w:val="22"/>
                <w:szCs w:val="22"/>
                <w:lang w:val="en-GB"/>
              </w:rPr>
              <w:t>VITbox</w:t>
            </w:r>
            <w:proofErr w:type="spellEnd"/>
            <w:r>
              <w:rPr>
                <w:sz w:val="22"/>
                <w:szCs w:val="22"/>
                <w:lang w:val="en-GB"/>
              </w:rPr>
              <w:t xml:space="preserve"> team based on a classroom task by Barbara Sawicka, Dorota </w:t>
            </w:r>
            <w:proofErr w:type="spellStart"/>
            <w:r>
              <w:rPr>
                <w:sz w:val="22"/>
                <w:szCs w:val="22"/>
                <w:lang w:val="en-GB"/>
              </w:rPr>
              <w:t>Żarnowska</w:t>
            </w:r>
            <w:proofErr w:type="spellEnd"/>
            <w:r>
              <w:rPr>
                <w:sz w:val="22"/>
                <w:szCs w:val="22"/>
                <w:lang w:val="en-GB"/>
              </w:rPr>
              <w:t xml:space="preserve"> (Poznan University of Technology)</w:t>
            </w:r>
          </w:p>
        </w:tc>
      </w:tr>
    </w:tbl>
    <w:p w14:paraId="36E29EE2" w14:textId="77777777" w:rsidR="00F972F5" w:rsidRDefault="00F972F5">
      <w:pPr>
        <w:spacing w:before="120"/>
        <w:rPr>
          <w:sz w:val="22"/>
          <w:szCs w:val="22"/>
        </w:rPr>
      </w:pPr>
    </w:p>
    <w:tbl>
      <w:tblPr>
        <w:tblStyle w:val="TableGrid"/>
        <w:tblW w:w="0" w:type="auto"/>
        <w:tblLook w:val="04A0" w:firstRow="1" w:lastRow="0" w:firstColumn="1" w:lastColumn="0" w:noHBand="0" w:noVBand="1"/>
      </w:tblPr>
      <w:tblGrid>
        <w:gridCol w:w="9062"/>
      </w:tblGrid>
      <w:tr w:rsidR="00F972F5" w14:paraId="1DC04AD5" w14:textId="77777777">
        <w:tc>
          <w:tcPr>
            <w:tcW w:w="9062" w:type="dxa"/>
          </w:tcPr>
          <w:p w14:paraId="2EF614F3"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lang w:val="en-GB"/>
              </w:rPr>
            </w:pPr>
            <w:r w:rsidRPr="00D76FD4">
              <w:rPr>
                <w:b/>
                <w:bCs w:val="0"/>
                <w:sz w:val="22"/>
                <w:szCs w:val="22"/>
                <w:lang w:val="en-GB"/>
              </w:rPr>
              <w:t>Goals of the activity:</w:t>
            </w:r>
          </w:p>
          <w:p w14:paraId="318E87BE" w14:textId="77777777" w:rsidR="00F972F5" w:rsidRDefault="00D76FD4">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Practising reading for specific information and taking notes. </w:t>
            </w:r>
          </w:p>
          <w:p w14:paraId="43FA5938" w14:textId="77777777" w:rsidR="00F972F5" w:rsidRDefault="00D76FD4">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Collaborating to construct meaning in a discussion and facilitating the flow and direction of this discussion. </w:t>
            </w:r>
          </w:p>
          <w:p w14:paraId="763D80F9" w14:textId="77777777" w:rsidR="00F972F5" w:rsidRDefault="00D76FD4">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Being able to convey information in a conversation on a field-specific topic. Being able to ask for information and repair mistakes in communication to limit the effect of misunderstandings.</w:t>
            </w:r>
          </w:p>
          <w:p w14:paraId="3089C32C" w14:textId="77777777" w:rsidR="00F972F5" w:rsidRDefault="00D76FD4">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Practising drawing information from </w:t>
            </w:r>
            <w:proofErr w:type="gramStart"/>
            <w:r>
              <w:rPr>
                <w:sz w:val="22"/>
                <w:szCs w:val="22"/>
                <w:lang w:val="en-GB"/>
              </w:rPr>
              <w:t>a number of</w:t>
            </w:r>
            <w:proofErr w:type="gramEnd"/>
            <w:r>
              <w:rPr>
                <w:sz w:val="22"/>
                <w:szCs w:val="22"/>
                <w:lang w:val="en-GB"/>
              </w:rPr>
              <w:t xml:space="preserve"> different written sources and charts and giving spoken reports.</w:t>
            </w:r>
          </w:p>
          <w:p w14:paraId="30114C6C"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lang w:val="en-GB"/>
              </w:rPr>
            </w:pPr>
            <w:r w:rsidRPr="00D76FD4">
              <w:rPr>
                <w:b/>
                <w:bCs w:val="0"/>
                <w:sz w:val="22"/>
                <w:szCs w:val="22"/>
                <w:lang w:val="en-GB"/>
              </w:rPr>
              <w:t>1. Warm-up</w:t>
            </w:r>
          </w:p>
          <w:p w14:paraId="22AD921E"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A quiz on a variety of energy sources (this could be based on previously learned material), e.g. using </w:t>
            </w:r>
            <w:proofErr w:type="spellStart"/>
            <w:r>
              <w:rPr>
                <w:sz w:val="22"/>
                <w:szCs w:val="22"/>
                <w:lang w:val="en-GB"/>
              </w:rPr>
              <w:t>Menti</w:t>
            </w:r>
            <w:proofErr w:type="spellEnd"/>
            <w:r>
              <w:rPr>
                <w:sz w:val="22"/>
                <w:szCs w:val="22"/>
                <w:lang w:val="en-GB"/>
              </w:rPr>
              <w:t>.</w:t>
            </w:r>
          </w:p>
          <w:p w14:paraId="77CB5C4A"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lang w:val="en-GB"/>
              </w:rPr>
            </w:pPr>
            <w:r w:rsidRPr="00D76FD4">
              <w:rPr>
                <w:b/>
                <w:bCs w:val="0"/>
                <w:sz w:val="22"/>
                <w:szCs w:val="22"/>
                <w:lang w:val="en-GB"/>
              </w:rPr>
              <w:t xml:space="preserve">2. Task 1: Participating in a meeting – preparation </w:t>
            </w:r>
          </w:p>
          <w:p w14:paraId="4FA08974"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 xml:space="preserve">Students listen to recordings of people taking part in a meeting and are asked to focus on how the meeting is conducted and the phrases used to contribute to the discussion, take turns and manage the meeting. </w:t>
            </w:r>
          </w:p>
          <w:p w14:paraId="5CC609AB"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spacing w:before="120"/>
              <w:rPr>
                <w:b/>
                <w:bCs w:val="0"/>
                <w:sz w:val="22"/>
                <w:szCs w:val="22"/>
                <w:lang w:val="en-GB"/>
              </w:rPr>
            </w:pPr>
            <w:r w:rsidRPr="00D76FD4">
              <w:rPr>
                <w:b/>
                <w:bCs w:val="0"/>
                <w:sz w:val="22"/>
                <w:szCs w:val="22"/>
                <w:lang w:val="en-GB"/>
              </w:rPr>
              <w:t>3. Task 2: An energy management case study</w:t>
            </w:r>
          </w:p>
          <w:p w14:paraId="346DDFDB"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The students are given information about Country X’s energy situation, resources and problems concerning the energy sector and they are asked to suggest solutions for the directions in which the country should go. The resources for the discussion comprise:</w:t>
            </w:r>
          </w:p>
          <w:p w14:paraId="76319C43" w14:textId="77777777" w:rsidR="00F972F5" w:rsidRDefault="00D76FD4">
            <w:pPr>
              <w:numPr>
                <w:ilvl w:val="0"/>
                <w:numId w:val="2"/>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a pie chart of energy resources in Country X</w:t>
            </w:r>
          </w:p>
          <w:p w14:paraId="6844B005" w14:textId="77777777" w:rsidR="00F972F5" w:rsidRDefault="00D76FD4">
            <w:pPr>
              <w:numPr>
                <w:ilvl w:val="0"/>
                <w:numId w:val="2"/>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a text about the geographical features of Country X</w:t>
            </w:r>
          </w:p>
          <w:p w14:paraId="2E21AF6C" w14:textId="77777777" w:rsidR="00F972F5" w:rsidRDefault="00D76FD4">
            <w:pPr>
              <w:numPr>
                <w:ilvl w:val="0"/>
                <w:numId w:val="2"/>
              </w:num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a text about reasons for energy shortage</w:t>
            </w:r>
          </w:p>
          <w:p w14:paraId="5D538285"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lastRenderedPageBreak/>
              <w:t>The students taking part in the meeting are assigned roles of the chairperson, minute writer responsible for the report and experts in the field of electrical power engineering.</w:t>
            </w:r>
          </w:p>
          <w:p w14:paraId="67C322AC"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spacing w:before="120"/>
              <w:rPr>
                <w:b/>
                <w:sz w:val="22"/>
                <w:szCs w:val="22"/>
                <w:lang w:val="en-GB"/>
              </w:rPr>
            </w:pPr>
            <w:r w:rsidRPr="00D76FD4">
              <w:rPr>
                <w:b/>
                <w:sz w:val="22"/>
                <w:szCs w:val="22"/>
                <w:lang w:val="en-GB"/>
              </w:rPr>
              <w:t>4. Task 3: Peer feedback and class discussion</w:t>
            </w:r>
          </w:p>
          <w:p w14:paraId="44161213" w14:textId="77777777" w:rsidR="00F972F5" w:rsidRDefault="00D76FD4">
            <w:pPr>
              <w:pBdr>
                <w:top w:val="none" w:sz="0" w:space="0" w:color="auto"/>
                <w:left w:val="none" w:sz="0" w:space="0" w:color="auto"/>
                <w:bottom w:val="none" w:sz="0" w:space="0" w:color="auto"/>
                <w:right w:val="none" w:sz="0" w:space="0" w:color="auto"/>
                <w:between w:val="none" w:sz="0" w:space="0" w:color="auto"/>
              </w:pBdr>
              <w:spacing w:before="120"/>
              <w:rPr>
                <w:sz w:val="22"/>
                <w:szCs w:val="22"/>
                <w:lang w:val="en-GB"/>
              </w:rPr>
            </w:pPr>
            <w:r>
              <w:rPr>
                <w:sz w:val="22"/>
                <w:szCs w:val="22"/>
                <w:lang w:val="en-GB"/>
              </w:rPr>
              <w:t>A spoken report describing the agreed way forward for Country X in dealing with the energy crisis or an account of the discussion if the decision has not been reached – given by one person from each group. This could lead to a class discussion to compare the solutions.</w:t>
            </w:r>
          </w:p>
        </w:tc>
      </w:tr>
    </w:tbl>
    <w:p w14:paraId="35734535" w14:textId="1CDE04F8" w:rsidR="00F972F5" w:rsidRPr="00D76FD4" w:rsidRDefault="00D76FD4">
      <w:pPr>
        <w:spacing w:before="120"/>
        <w:rPr>
          <w:b/>
          <w:bCs w:val="0"/>
          <w:sz w:val="22"/>
          <w:szCs w:val="22"/>
        </w:rPr>
      </w:pPr>
      <w:r>
        <w:rPr>
          <w:b/>
          <w:bCs w:val="0"/>
          <w:sz w:val="22"/>
          <w:szCs w:val="22"/>
        </w:rPr>
        <w:lastRenderedPageBreak/>
        <w:br/>
      </w:r>
      <w:r w:rsidRPr="00D76FD4">
        <w:rPr>
          <w:b/>
          <w:bCs w:val="0"/>
          <w:sz w:val="22"/>
          <w:szCs w:val="22"/>
        </w:rPr>
        <w:t>Descriptors:</w:t>
      </w:r>
      <w:r w:rsidRPr="00D76FD4">
        <w:rPr>
          <w:rFonts w:ascii="Times New Roman" w:eastAsia="Times New Roman" w:hAnsi="Times New Roman" w:cs="Times New Roman"/>
          <w:b/>
          <w:bCs w:val="0"/>
          <w:iCs w:val="0"/>
          <w:sz w:val="23"/>
          <w:szCs w:val="22"/>
          <w:lang w:eastAsia="en-GB"/>
        </w:rPr>
        <w:t xml:space="preserve"> </w:t>
      </w:r>
      <w:r w:rsidRPr="00D76FD4">
        <w:rPr>
          <w:b/>
          <w:bCs w:val="0"/>
          <w:sz w:val="22"/>
          <w:szCs w:val="22"/>
        </w:rPr>
        <w:t>CEFR level C1</w:t>
      </w:r>
    </w:p>
    <w:tbl>
      <w:tblPr>
        <w:tblStyle w:val="TableGrid"/>
        <w:tblW w:w="0" w:type="auto"/>
        <w:tblLook w:val="04A0" w:firstRow="1" w:lastRow="0" w:firstColumn="1" w:lastColumn="0" w:noHBand="0" w:noVBand="1"/>
      </w:tblPr>
      <w:tblGrid>
        <w:gridCol w:w="4531"/>
        <w:gridCol w:w="4531"/>
      </w:tblGrid>
      <w:tr w:rsidR="00F972F5" w:rsidRPr="00D76FD4" w14:paraId="01B998D9" w14:textId="77777777">
        <w:tc>
          <w:tcPr>
            <w:tcW w:w="4606" w:type="dxa"/>
          </w:tcPr>
          <w:p w14:paraId="2232C40B"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bookmarkStart w:id="0" w:name="_Hlk91661592"/>
            <w:r w:rsidRPr="00D76FD4">
              <w:rPr>
                <w:lang w:val="en-GB"/>
              </w:rPr>
              <w:t xml:space="preserve">CEFR Descriptor Scheme: </w:t>
            </w:r>
          </w:p>
          <w:p w14:paraId="10979FE8"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Mediation/ Mediating a text</w:t>
            </w:r>
          </w:p>
        </w:tc>
        <w:tc>
          <w:tcPr>
            <w:tcW w:w="4606" w:type="dxa"/>
          </w:tcPr>
          <w:p w14:paraId="23DE4CD1"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Scale:</w:t>
            </w:r>
          </w:p>
          <w:p w14:paraId="2235B6FC"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Explaining data in speech / in writing</w:t>
            </w:r>
          </w:p>
        </w:tc>
      </w:tr>
      <w:tr w:rsidR="00F972F5" w:rsidRPr="00D76FD4" w14:paraId="1F5FE610" w14:textId="77777777">
        <w:tc>
          <w:tcPr>
            <w:tcW w:w="9212" w:type="dxa"/>
            <w:gridSpan w:val="2"/>
          </w:tcPr>
          <w:p w14:paraId="48297241"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 xml:space="preserve">Descriptors: </w:t>
            </w:r>
          </w:p>
          <w:p w14:paraId="79111502"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 xml:space="preserve">Can interpret and describe clearly and reliably (in Language B) the salient points and details contained in complex diagrams and other visually organised information (with text in Language A) on complex academic or professional topics. </w:t>
            </w:r>
            <w:bookmarkEnd w:id="0"/>
          </w:p>
        </w:tc>
      </w:tr>
    </w:tbl>
    <w:p w14:paraId="3D09C2DD" w14:textId="77777777" w:rsidR="00F972F5" w:rsidRPr="00D76FD4" w:rsidRDefault="00F972F5" w:rsidP="00D76FD4">
      <w:pPr>
        <w:spacing w:after="0"/>
      </w:pPr>
    </w:p>
    <w:tbl>
      <w:tblPr>
        <w:tblStyle w:val="TableGrid"/>
        <w:tblW w:w="0" w:type="auto"/>
        <w:tblLook w:val="04A0" w:firstRow="1" w:lastRow="0" w:firstColumn="1" w:lastColumn="0" w:noHBand="0" w:noVBand="1"/>
      </w:tblPr>
      <w:tblGrid>
        <w:gridCol w:w="4532"/>
        <w:gridCol w:w="4530"/>
      </w:tblGrid>
      <w:tr w:rsidR="00F972F5" w:rsidRPr="00D76FD4" w14:paraId="07725A16" w14:textId="77777777">
        <w:tc>
          <w:tcPr>
            <w:tcW w:w="4606" w:type="dxa"/>
          </w:tcPr>
          <w:p w14:paraId="3A8563F7"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 xml:space="preserve">CEFR Descriptor Scheme: </w:t>
            </w:r>
          </w:p>
          <w:p w14:paraId="2A58BFBE"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Mediation/ Mediating a text</w:t>
            </w:r>
          </w:p>
        </w:tc>
        <w:tc>
          <w:tcPr>
            <w:tcW w:w="4606" w:type="dxa"/>
          </w:tcPr>
          <w:p w14:paraId="29C09AAA"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Scale:</w:t>
            </w:r>
          </w:p>
          <w:p w14:paraId="5CFA3FE7"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Note-taking (lectures, seminars, meetings etc.)</w:t>
            </w:r>
          </w:p>
        </w:tc>
      </w:tr>
      <w:tr w:rsidR="00F972F5" w:rsidRPr="00D76FD4" w14:paraId="1A87BF91" w14:textId="77777777">
        <w:tc>
          <w:tcPr>
            <w:tcW w:w="9212" w:type="dxa"/>
            <w:gridSpan w:val="2"/>
          </w:tcPr>
          <w:p w14:paraId="48F6B750"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 xml:space="preserve">Descriptors: </w:t>
            </w:r>
          </w:p>
          <w:p w14:paraId="3BE3502E" w14:textId="77777777" w:rsidR="00F972F5" w:rsidRPr="00D76FD4" w:rsidRDefault="00D76FD4">
            <w:pPr>
              <w:pBdr>
                <w:top w:val="none" w:sz="0" w:space="0" w:color="auto"/>
                <w:left w:val="none" w:sz="0" w:space="0" w:color="auto"/>
                <w:bottom w:val="none" w:sz="0" w:space="0" w:color="auto"/>
                <w:right w:val="none" w:sz="0" w:space="0" w:color="auto"/>
                <w:between w:val="none" w:sz="0" w:space="0" w:color="auto"/>
              </w:pBdr>
              <w:jc w:val="left"/>
              <w:rPr>
                <w:lang w:val="en-GB"/>
              </w:rPr>
            </w:pPr>
            <w:r w:rsidRPr="00D76FD4">
              <w:rPr>
                <w:lang w:val="en-GB"/>
              </w:rPr>
              <w:t xml:space="preserve">Can interpret and describe clearly and reliably (in Language B) the salient points and details contained in complex diagrams and other visually organised information (with text in Language A) on complex academic or professional topics. </w:t>
            </w:r>
          </w:p>
        </w:tc>
      </w:tr>
    </w:tbl>
    <w:p w14:paraId="64CCE2C2" w14:textId="77777777" w:rsidR="00F972F5" w:rsidRPr="00D76FD4" w:rsidRDefault="00F972F5" w:rsidP="00D76FD4">
      <w:pPr>
        <w:spacing w:after="0"/>
      </w:pPr>
    </w:p>
    <w:tbl>
      <w:tblPr>
        <w:tblW w:w="9128" w:type="dxa"/>
        <w:tblInd w:w="-7" w:type="dxa"/>
        <w:tblCellMar>
          <w:top w:w="57" w:type="dxa"/>
          <w:left w:w="112" w:type="dxa"/>
          <w:right w:w="235" w:type="dxa"/>
        </w:tblCellMar>
        <w:tblLook w:val="04A0" w:firstRow="1" w:lastRow="0" w:firstColumn="1" w:lastColumn="0" w:noHBand="0" w:noVBand="1"/>
      </w:tblPr>
      <w:tblGrid>
        <w:gridCol w:w="4563"/>
        <w:gridCol w:w="4565"/>
      </w:tblGrid>
      <w:tr w:rsidR="00F972F5" w:rsidRPr="00D76FD4" w14:paraId="0D2C1B8A" w14:textId="77777777" w:rsidTr="00D76FD4">
        <w:trPr>
          <w:trHeight w:val="811"/>
        </w:trPr>
        <w:tc>
          <w:tcPr>
            <w:tcW w:w="4563" w:type="dxa"/>
            <w:tcBorders>
              <w:top w:val="single" w:sz="7" w:space="0" w:color="000000"/>
              <w:left w:val="single" w:sz="8" w:space="0" w:color="000000"/>
              <w:bottom w:val="single" w:sz="7" w:space="0" w:color="000000"/>
              <w:right w:val="single" w:sz="7" w:space="0" w:color="000000"/>
            </w:tcBorders>
          </w:tcPr>
          <w:p w14:paraId="0FC66904" w14:textId="77777777" w:rsidR="00F972F5" w:rsidRPr="00D76FD4" w:rsidRDefault="00D76FD4">
            <w:r w:rsidRPr="00D76FD4">
              <w:t xml:space="preserve">CEFR Descriptor Scheme: </w:t>
            </w:r>
          </w:p>
          <w:p w14:paraId="49B77440" w14:textId="77777777" w:rsidR="00F972F5" w:rsidRPr="00D76FD4" w:rsidRDefault="00D76FD4">
            <w:r w:rsidRPr="00D76FD4">
              <w:t xml:space="preserve">Mediation / Mediating concepts </w:t>
            </w:r>
          </w:p>
        </w:tc>
        <w:tc>
          <w:tcPr>
            <w:tcW w:w="4565" w:type="dxa"/>
            <w:tcBorders>
              <w:top w:val="single" w:sz="7" w:space="0" w:color="000000"/>
              <w:left w:val="single" w:sz="7" w:space="0" w:color="000000"/>
              <w:bottom w:val="single" w:sz="7" w:space="0" w:color="000000"/>
              <w:right w:val="single" w:sz="7" w:space="0" w:color="000000"/>
            </w:tcBorders>
          </w:tcPr>
          <w:p w14:paraId="1DF3A520" w14:textId="77777777" w:rsidR="00F972F5" w:rsidRPr="00D76FD4" w:rsidRDefault="00D76FD4">
            <w:r w:rsidRPr="00D76FD4">
              <w:t xml:space="preserve">Scale: </w:t>
            </w:r>
          </w:p>
          <w:p w14:paraId="2712895A" w14:textId="77777777" w:rsidR="00F972F5" w:rsidRPr="00D76FD4" w:rsidRDefault="00D76FD4">
            <w:r w:rsidRPr="00D76FD4">
              <w:t xml:space="preserve">Facilitating collaborative interaction with peers </w:t>
            </w:r>
          </w:p>
        </w:tc>
      </w:tr>
      <w:tr w:rsidR="00F972F5" w:rsidRPr="00D76FD4" w14:paraId="2E0DC87E" w14:textId="77777777" w:rsidTr="00D76FD4">
        <w:trPr>
          <w:trHeight w:val="1370"/>
        </w:trPr>
        <w:tc>
          <w:tcPr>
            <w:tcW w:w="9128" w:type="dxa"/>
            <w:gridSpan w:val="2"/>
            <w:tcBorders>
              <w:top w:val="single" w:sz="7" w:space="0" w:color="000000"/>
              <w:left w:val="single" w:sz="8" w:space="0" w:color="000000"/>
              <w:bottom w:val="single" w:sz="7" w:space="0" w:color="000000"/>
              <w:right w:val="single" w:sz="7" w:space="0" w:color="000000"/>
            </w:tcBorders>
          </w:tcPr>
          <w:p w14:paraId="70292870" w14:textId="77777777" w:rsidR="00F972F5" w:rsidRPr="00D76FD4" w:rsidRDefault="00D76FD4">
            <w:r w:rsidRPr="00D76FD4">
              <w:t xml:space="preserve">Descriptors: </w:t>
            </w:r>
          </w:p>
          <w:p w14:paraId="76015070" w14:textId="77777777" w:rsidR="00F972F5" w:rsidRPr="00D76FD4" w:rsidRDefault="00D76FD4">
            <w:r w:rsidRPr="00D76FD4">
              <w:t xml:space="preserve">Can show sensitivity to different perspectives within a group, acknowledging contributions and formulating any reservations, disagreements or criticisms in such a way as to avoid or minimise any offence. </w:t>
            </w:r>
          </w:p>
          <w:p w14:paraId="2B77CD5A" w14:textId="77777777" w:rsidR="00F972F5" w:rsidRPr="00D76FD4" w:rsidRDefault="00D76FD4" w:rsidP="00D76FD4">
            <w:pPr>
              <w:spacing w:after="0"/>
            </w:pPr>
            <w:r w:rsidRPr="00D76FD4">
              <w:t xml:space="preserve">Can develop the interaction and tactfully help steer it towards a conclusion. </w:t>
            </w:r>
          </w:p>
        </w:tc>
      </w:tr>
    </w:tbl>
    <w:p w14:paraId="61D15899" w14:textId="77777777" w:rsidR="00F972F5" w:rsidRPr="00D76FD4" w:rsidRDefault="00F972F5" w:rsidP="00D76FD4">
      <w:pPr>
        <w:spacing w:after="0"/>
      </w:pPr>
    </w:p>
    <w:tbl>
      <w:tblPr>
        <w:tblW w:w="9211" w:type="dxa"/>
        <w:tblInd w:w="-7" w:type="dxa"/>
        <w:tblCellMar>
          <w:top w:w="57" w:type="dxa"/>
          <w:left w:w="112" w:type="dxa"/>
          <w:right w:w="227" w:type="dxa"/>
        </w:tblCellMar>
        <w:tblLook w:val="04A0" w:firstRow="1" w:lastRow="0" w:firstColumn="1" w:lastColumn="0" w:noHBand="0" w:noVBand="1"/>
      </w:tblPr>
      <w:tblGrid>
        <w:gridCol w:w="4660"/>
        <w:gridCol w:w="4551"/>
      </w:tblGrid>
      <w:tr w:rsidR="00F972F5" w:rsidRPr="00D76FD4" w14:paraId="305A0E1B" w14:textId="77777777" w:rsidTr="00D76FD4">
        <w:trPr>
          <w:trHeight w:val="778"/>
        </w:trPr>
        <w:tc>
          <w:tcPr>
            <w:tcW w:w="4660" w:type="dxa"/>
            <w:tcBorders>
              <w:top w:val="single" w:sz="7" w:space="0" w:color="000000"/>
              <w:left w:val="single" w:sz="8" w:space="0" w:color="000000"/>
              <w:bottom w:val="single" w:sz="7" w:space="0" w:color="000000"/>
              <w:right w:val="single" w:sz="7" w:space="0" w:color="000000"/>
            </w:tcBorders>
          </w:tcPr>
          <w:p w14:paraId="3740C2B8" w14:textId="77777777" w:rsidR="00F972F5" w:rsidRPr="00D76FD4" w:rsidRDefault="00D76FD4">
            <w:r w:rsidRPr="00D76FD4">
              <w:t xml:space="preserve">CEFR Descriptor Scheme: </w:t>
            </w:r>
          </w:p>
          <w:p w14:paraId="4A7ADE37" w14:textId="77777777" w:rsidR="00F972F5" w:rsidRPr="00D76FD4" w:rsidRDefault="00D76FD4">
            <w:r w:rsidRPr="00D76FD4">
              <w:t xml:space="preserve">Mediation / Mediating concepts </w:t>
            </w:r>
          </w:p>
        </w:tc>
        <w:tc>
          <w:tcPr>
            <w:tcW w:w="4551" w:type="dxa"/>
            <w:tcBorders>
              <w:top w:val="single" w:sz="7" w:space="0" w:color="000000"/>
              <w:left w:val="single" w:sz="7" w:space="0" w:color="000000"/>
              <w:bottom w:val="single" w:sz="7" w:space="0" w:color="000000"/>
              <w:right w:val="single" w:sz="7" w:space="0" w:color="000000"/>
            </w:tcBorders>
          </w:tcPr>
          <w:p w14:paraId="66ABC7DC" w14:textId="77777777" w:rsidR="00F972F5" w:rsidRPr="00D76FD4" w:rsidRDefault="00D76FD4">
            <w:r w:rsidRPr="00D76FD4">
              <w:t xml:space="preserve">Scale: </w:t>
            </w:r>
          </w:p>
          <w:p w14:paraId="671F21A1" w14:textId="77777777" w:rsidR="00F972F5" w:rsidRPr="00D76FD4" w:rsidRDefault="00D76FD4">
            <w:r w:rsidRPr="00D76FD4">
              <w:t xml:space="preserve">Collaborating to construct meaning </w:t>
            </w:r>
          </w:p>
        </w:tc>
      </w:tr>
      <w:tr w:rsidR="00F972F5" w:rsidRPr="00D76FD4" w14:paraId="1ACF1155" w14:textId="77777777" w:rsidTr="00D76FD4">
        <w:trPr>
          <w:trHeight w:val="2135"/>
        </w:trPr>
        <w:tc>
          <w:tcPr>
            <w:tcW w:w="9211" w:type="dxa"/>
            <w:gridSpan w:val="2"/>
            <w:tcBorders>
              <w:top w:val="single" w:sz="7" w:space="0" w:color="000000"/>
              <w:left w:val="single" w:sz="8" w:space="0" w:color="000000"/>
              <w:bottom w:val="single" w:sz="7" w:space="0" w:color="000000"/>
              <w:right w:val="single" w:sz="7" w:space="0" w:color="000000"/>
            </w:tcBorders>
          </w:tcPr>
          <w:p w14:paraId="09DBFBE0" w14:textId="77777777" w:rsidR="00F972F5" w:rsidRPr="00D76FD4" w:rsidRDefault="00D76FD4">
            <w:r w:rsidRPr="00D76FD4">
              <w:t xml:space="preserve">Descriptors: </w:t>
            </w:r>
          </w:p>
          <w:p w14:paraId="575A8096" w14:textId="77777777" w:rsidR="00F972F5" w:rsidRPr="00D76FD4" w:rsidRDefault="00D76FD4">
            <w:r w:rsidRPr="00D76FD4">
              <w:t xml:space="preserve">Can frame a discussion to decide on a course of action with a partner or group, reporting on what others have said, summarising, elaborating and weighing up multiple points of view. </w:t>
            </w:r>
          </w:p>
          <w:p w14:paraId="4603EDE2" w14:textId="77777777" w:rsidR="00F972F5" w:rsidRPr="00D76FD4" w:rsidRDefault="00D76FD4">
            <w:r w:rsidRPr="00D76FD4">
              <w:t xml:space="preserve">Can evaluate problems, challenges and proposals in a collaborative discussion </w:t>
            </w:r>
            <w:proofErr w:type="gramStart"/>
            <w:r w:rsidRPr="00D76FD4">
              <w:t>in order to</w:t>
            </w:r>
            <w:proofErr w:type="gramEnd"/>
            <w:r w:rsidRPr="00D76FD4">
              <w:t xml:space="preserve"> decide on the way forward. </w:t>
            </w:r>
          </w:p>
          <w:p w14:paraId="1FC9C674" w14:textId="77777777" w:rsidR="00F972F5" w:rsidRPr="00D76FD4" w:rsidRDefault="00D76FD4">
            <w:r w:rsidRPr="00D76FD4">
              <w:t xml:space="preserve">Can highlight inconsistencies in thinking and challenge others’ ideas in the process of trying to reach a consensus. </w:t>
            </w:r>
          </w:p>
        </w:tc>
      </w:tr>
    </w:tbl>
    <w:p w14:paraId="5541BBEB" w14:textId="77777777" w:rsidR="00F972F5" w:rsidRDefault="00F972F5" w:rsidP="00D76FD4">
      <w:pPr>
        <w:pBdr>
          <w:top w:val="none" w:sz="4" w:space="17" w:color="000000"/>
        </w:pBdr>
      </w:pPr>
    </w:p>
    <w:sectPr w:rsidR="00F972F5" w:rsidSect="00843B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9FCB" w14:textId="77777777" w:rsidR="00F972F5" w:rsidRDefault="00D76FD4">
      <w:pPr>
        <w:spacing w:after="0"/>
      </w:pPr>
      <w:r>
        <w:separator/>
      </w:r>
    </w:p>
  </w:endnote>
  <w:endnote w:type="continuationSeparator" w:id="0">
    <w:p w14:paraId="797F60C3" w14:textId="77777777" w:rsidR="00F972F5" w:rsidRDefault="00D76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2B33" w14:textId="77777777" w:rsidR="00FA2E96" w:rsidRDefault="00FA2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219862"/>
      <w:docPartObj>
        <w:docPartGallery w:val="Page Numbers (Bottom of Page)"/>
        <w:docPartUnique/>
      </w:docPartObj>
    </w:sdtPr>
    <w:sdtEndPr/>
    <w:sdtContent>
      <w:p w14:paraId="15950635" w14:textId="618D98FA" w:rsidR="00F972F5" w:rsidRDefault="00D76FD4" w:rsidP="00843B10">
        <w:pPr>
          <w:pStyle w:val="Footer"/>
          <w:jc w:val="right"/>
        </w:pPr>
        <w:r>
          <w:fldChar w:fldCharType="begin"/>
        </w:r>
        <w:r>
          <w:instrText xml:space="preserve"> PAGE   \* MERGEFORMAT </w:instrText>
        </w:r>
        <w:r>
          <w:fldChar w:fldCharType="separate"/>
        </w:r>
        <w:r>
          <w:t>1</w:t>
        </w:r>
        <w:r>
          <w:fldChar w:fldCharType="end"/>
        </w:r>
      </w:p>
    </w:sdtContent>
  </w:sdt>
  <w:p w14:paraId="111BDE6C" w14:textId="77777777" w:rsidR="00F972F5" w:rsidRDefault="00F97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843B10" w:rsidRPr="008414FC" w14:paraId="123D6B10" w14:textId="77777777" w:rsidTr="0030669C">
      <w:trPr>
        <w:trHeight w:val="574"/>
      </w:trPr>
      <w:tc>
        <w:tcPr>
          <w:tcW w:w="6947" w:type="dxa"/>
          <w:tcBorders>
            <w:top w:val="single" w:sz="4" w:space="0" w:color="auto"/>
          </w:tcBorders>
        </w:tcPr>
        <w:p w14:paraId="3EC5AB56" w14:textId="77777777" w:rsidR="00843B10" w:rsidRPr="008414FC" w:rsidRDefault="00843B10" w:rsidP="00843B10">
          <w:pPr>
            <w:pStyle w:val="Footer1"/>
            <w:tabs>
              <w:tab w:val="clear" w:pos="9072"/>
            </w:tabs>
            <w:spacing w:before="120"/>
            <w:ind w:left="0"/>
            <w:jc w:val="left"/>
            <w:rPr>
              <w:rFonts w:cstheme="minorHAnsi"/>
              <w:i/>
              <w:iCs/>
              <w:color w:val="464646"/>
              <w:sz w:val="16"/>
              <w:szCs w:val="16"/>
              <w:shd w:val="clear" w:color="auto" w:fill="FFFFFF"/>
            </w:rPr>
          </w:pPr>
          <w:bookmarkStart w:id="1" w:name="_Hlk151042701"/>
          <w:r w:rsidRPr="00F42C71">
            <w:rPr>
              <w:rFonts w:cstheme="minorHAnsi"/>
              <w:color w:val="464646"/>
              <w:sz w:val="16"/>
              <w:szCs w:val="16"/>
              <w:shd w:val="clear" w:color="auto" w:fill="FFFFFF"/>
            </w:rPr>
            <w:t xml:space="preserve">© 2023. </w:t>
          </w:r>
          <w:r>
            <w:rPr>
              <w:rFonts w:cstheme="minorHAnsi"/>
              <w:color w:val="464646"/>
              <w:sz w:val="16"/>
              <w:szCs w:val="16"/>
              <w:shd w:val="clear" w:color="auto" w:fill="FFFFFF"/>
            </w:rPr>
            <w:t>This work is licensed under an Attribution-</w:t>
          </w:r>
          <w:proofErr w:type="spellStart"/>
          <w:r>
            <w:rPr>
              <w:rFonts w:cstheme="minorHAnsi"/>
              <w:color w:val="464646"/>
              <w:sz w:val="16"/>
              <w:szCs w:val="16"/>
              <w:shd w:val="clear" w:color="auto" w:fill="FFFFFF"/>
            </w:rPr>
            <w:t>NonCommercial</w:t>
          </w:r>
          <w:proofErr w:type="spellEnd"/>
          <w:r>
            <w:rPr>
              <w:rFonts w:cstheme="minorHAnsi"/>
              <w:color w:val="464646"/>
              <w:sz w:val="16"/>
              <w:szCs w:val="16"/>
              <w:shd w:val="clear" w:color="auto" w:fill="FFFFFF"/>
            </w:rPr>
            <w:t>-</w:t>
          </w:r>
          <w:proofErr w:type="spellStart"/>
          <w:r>
            <w:rPr>
              <w:rFonts w:cstheme="minorHAnsi"/>
              <w:color w:val="464646"/>
              <w:sz w:val="16"/>
              <w:szCs w:val="16"/>
              <w:shd w:val="clear" w:color="auto" w:fill="FFFFFF"/>
            </w:rPr>
            <w:t>ShareAlike</w:t>
          </w:r>
          <w:proofErr w:type="spellEnd"/>
          <w:r>
            <w:rPr>
              <w:rFonts w:cstheme="minorHAnsi"/>
              <w:color w:val="464646"/>
              <w:sz w:val="16"/>
              <w:szCs w:val="16"/>
              <w:shd w:val="clear" w:color="auto" w:fill="FFFFFF"/>
            </w:rPr>
            <w:t xml:space="preserve"> International Creative </w:t>
          </w:r>
          <w:r w:rsidRPr="003411BA">
            <w:rPr>
              <w:rFonts w:cstheme="minorHAnsi"/>
              <w:color w:val="464646"/>
              <w:sz w:val="16"/>
              <w:szCs w:val="16"/>
              <w:shd w:val="clear" w:color="auto" w:fill="FFFFFF"/>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rPr>
            <w:t>.</w:t>
          </w:r>
          <w:r>
            <w:rPr>
              <w:rFonts w:cstheme="minorHAnsi"/>
              <w:i/>
              <w:iCs/>
              <w:color w:val="464646"/>
              <w:sz w:val="16"/>
              <w:szCs w:val="16"/>
              <w:shd w:val="clear" w:color="auto" w:fill="FFFFFF"/>
            </w:rPr>
            <w:t xml:space="preserve"> </w:t>
          </w:r>
          <w:r w:rsidRPr="002A7F10">
            <w:rPr>
              <w:rFonts w:cstheme="minorHAnsi"/>
              <w:color w:val="0D0D0D" w:themeColor="text1" w:themeTint="F2"/>
              <w:sz w:val="16"/>
              <w:szCs w:val="16"/>
              <w:shd w:val="clear" w:color="auto" w:fill="FFFFFF"/>
            </w:rPr>
            <w:t>Attribution: Original activity from Fischer Johann (et al.) (2023),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404AD796" w14:textId="77777777" w:rsidR="00843B10" w:rsidRPr="008414FC" w:rsidRDefault="00843B10" w:rsidP="00843B10">
          <w:pPr>
            <w:pStyle w:val="Footer1"/>
            <w:tabs>
              <w:tab w:val="clear" w:pos="9072"/>
            </w:tabs>
            <w:ind w:left="0" w:right="-109"/>
            <w:jc w:val="left"/>
            <w:rPr>
              <w:sz w:val="16"/>
              <w:szCs w:val="16"/>
            </w:rPr>
          </w:pPr>
          <w:r w:rsidRPr="008414FC">
            <w:rPr>
              <w:noProof/>
              <w:sz w:val="16"/>
              <w:szCs w:val="16"/>
            </w:rPr>
            <w:drawing>
              <wp:inline distT="0" distB="0" distL="0" distR="0" wp14:anchorId="594108EC" wp14:editId="2F0023D8">
                <wp:extent cx="1572895" cy="535940"/>
                <wp:effectExtent l="0" t="0" r="8255" b="0"/>
                <wp:docPr id="465758336" name="Picture 4657583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1"/>
  </w:tbl>
  <w:p w14:paraId="7308A2EE" w14:textId="77777777" w:rsidR="00FA2E96" w:rsidRDefault="00FA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4C938" w14:textId="77777777" w:rsidR="00F972F5" w:rsidRDefault="00D76FD4">
      <w:pPr>
        <w:spacing w:after="0"/>
      </w:pPr>
      <w:r>
        <w:separator/>
      </w:r>
    </w:p>
  </w:footnote>
  <w:footnote w:type="continuationSeparator" w:id="0">
    <w:p w14:paraId="41E61EF1" w14:textId="77777777" w:rsidR="00F972F5" w:rsidRDefault="00D76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079F" w14:textId="77777777" w:rsidR="00FA2E96" w:rsidRDefault="00FA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A645" w14:textId="2C73FB93" w:rsidR="00F972F5" w:rsidRDefault="00F972F5" w:rsidP="00D76F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D98A" w14:textId="7886F57D" w:rsidR="00FA2E96" w:rsidRDefault="00843B10" w:rsidP="00843B10">
    <w:pPr>
      <w:pStyle w:val="Header"/>
      <w:jc w:val="right"/>
    </w:pPr>
    <w:r>
      <w:rPr>
        <w:noProof/>
        <w:lang w:val="de-DE"/>
      </w:rPr>
      <w:drawing>
        <wp:inline distT="0" distB="0" distL="0" distR="0" wp14:anchorId="6C84BA5D" wp14:editId="3AEE68AA">
          <wp:extent cx="1304714" cy="842890"/>
          <wp:effectExtent l="0" t="0" r="0" b="0"/>
          <wp:docPr id="1269627298" name="Picture 1269627298"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512FE"/>
    <w:multiLevelType w:val="hybridMultilevel"/>
    <w:tmpl w:val="AE3CC6A8"/>
    <w:lvl w:ilvl="0" w:tplc="D2D4AAFA">
      <w:start w:val="1"/>
      <w:numFmt w:val="bullet"/>
      <w:lvlText w:val=""/>
      <w:lvlJc w:val="left"/>
      <w:pPr>
        <w:ind w:left="1485" w:hanging="360"/>
      </w:pPr>
      <w:rPr>
        <w:rFonts w:ascii="Symbol" w:hAnsi="Symbol" w:hint="default"/>
      </w:rPr>
    </w:lvl>
    <w:lvl w:ilvl="1" w:tplc="E79AA7D2">
      <w:start w:val="1"/>
      <w:numFmt w:val="bullet"/>
      <w:lvlText w:val="o"/>
      <w:lvlJc w:val="left"/>
      <w:pPr>
        <w:ind w:left="2205" w:hanging="360"/>
      </w:pPr>
      <w:rPr>
        <w:rFonts w:ascii="Courier New" w:hAnsi="Courier New" w:cs="Courier New" w:hint="default"/>
      </w:rPr>
    </w:lvl>
    <w:lvl w:ilvl="2" w:tplc="99283958">
      <w:start w:val="1"/>
      <w:numFmt w:val="bullet"/>
      <w:lvlText w:val=""/>
      <w:lvlJc w:val="left"/>
      <w:pPr>
        <w:ind w:left="2925" w:hanging="360"/>
      </w:pPr>
      <w:rPr>
        <w:rFonts w:ascii="Wingdings" w:hAnsi="Wingdings" w:hint="default"/>
      </w:rPr>
    </w:lvl>
    <w:lvl w:ilvl="3" w:tplc="436E21D6">
      <w:start w:val="1"/>
      <w:numFmt w:val="bullet"/>
      <w:lvlText w:val=""/>
      <w:lvlJc w:val="left"/>
      <w:pPr>
        <w:ind w:left="3645" w:hanging="360"/>
      </w:pPr>
      <w:rPr>
        <w:rFonts w:ascii="Symbol" w:hAnsi="Symbol" w:hint="default"/>
      </w:rPr>
    </w:lvl>
    <w:lvl w:ilvl="4" w:tplc="5CE8CB48">
      <w:start w:val="1"/>
      <w:numFmt w:val="bullet"/>
      <w:lvlText w:val="o"/>
      <w:lvlJc w:val="left"/>
      <w:pPr>
        <w:ind w:left="4365" w:hanging="360"/>
      </w:pPr>
      <w:rPr>
        <w:rFonts w:ascii="Courier New" w:hAnsi="Courier New" w:cs="Courier New" w:hint="default"/>
      </w:rPr>
    </w:lvl>
    <w:lvl w:ilvl="5" w:tplc="479ED050">
      <w:start w:val="1"/>
      <w:numFmt w:val="bullet"/>
      <w:lvlText w:val=""/>
      <w:lvlJc w:val="left"/>
      <w:pPr>
        <w:ind w:left="5085" w:hanging="360"/>
      </w:pPr>
      <w:rPr>
        <w:rFonts w:ascii="Wingdings" w:hAnsi="Wingdings" w:hint="default"/>
      </w:rPr>
    </w:lvl>
    <w:lvl w:ilvl="6" w:tplc="3C5E4A64">
      <w:start w:val="1"/>
      <w:numFmt w:val="bullet"/>
      <w:lvlText w:val=""/>
      <w:lvlJc w:val="left"/>
      <w:pPr>
        <w:ind w:left="5805" w:hanging="360"/>
      </w:pPr>
      <w:rPr>
        <w:rFonts w:ascii="Symbol" w:hAnsi="Symbol" w:hint="default"/>
      </w:rPr>
    </w:lvl>
    <w:lvl w:ilvl="7" w:tplc="329E637A">
      <w:start w:val="1"/>
      <w:numFmt w:val="bullet"/>
      <w:lvlText w:val="o"/>
      <w:lvlJc w:val="left"/>
      <w:pPr>
        <w:ind w:left="6525" w:hanging="360"/>
      </w:pPr>
      <w:rPr>
        <w:rFonts w:ascii="Courier New" w:hAnsi="Courier New" w:cs="Courier New" w:hint="default"/>
      </w:rPr>
    </w:lvl>
    <w:lvl w:ilvl="8" w:tplc="D0282D98">
      <w:start w:val="1"/>
      <w:numFmt w:val="bullet"/>
      <w:lvlText w:val=""/>
      <w:lvlJc w:val="left"/>
      <w:pPr>
        <w:ind w:left="7245" w:hanging="360"/>
      </w:pPr>
      <w:rPr>
        <w:rFonts w:ascii="Wingdings" w:hAnsi="Wingdings" w:hint="default"/>
      </w:rPr>
    </w:lvl>
  </w:abstractNum>
  <w:abstractNum w:abstractNumId="1" w15:restartNumberingAfterBreak="0">
    <w:nsid w:val="60D80D8F"/>
    <w:multiLevelType w:val="hybridMultilevel"/>
    <w:tmpl w:val="922E8194"/>
    <w:lvl w:ilvl="0" w:tplc="6E7A9A46">
      <w:start w:val="1"/>
      <w:numFmt w:val="decimal"/>
      <w:pStyle w:val="Heading1"/>
      <w:lvlText w:val="%1."/>
      <w:lvlJc w:val="left"/>
      <w:pPr>
        <w:ind w:left="720" w:hanging="360"/>
      </w:pPr>
    </w:lvl>
    <w:lvl w:ilvl="1" w:tplc="EA9E6AB4">
      <w:start w:val="1"/>
      <w:numFmt w:val="lowerLetter"/>
      <w:pStyle w:val="Heading2"/>
      <w:lvlText w:val="%2."/>
      <w:lvlJc w:val="left"/>
      <w:pPr>
        <w:ind w:left="1440" w:hanging="360"/>
      </w:pPr>
    </w:lvl>
    <w:lvl w:ilvl="2" w:tplc="F5BE3506">
      <w:start w:val="1"/>
      <w:numFmt w:val="lowerRoman"/>
      <w:pStyle w:val="Heading3"/>
      <w:lvlText w:val="%3."/>
      <w:lvlJc w:val="right"/>
      <w:pPr>
        <w:ind w:left="2160" w:hanging="180"/>
      </w:pPr>
    </w:lvl>
    <w:lvl w:ilvl="3" w:tplc="7674B0FC">
      <w:start w:val="1"/>
      <w:numFmt w:val="decimal"/>
      <w:lvlText w:val="%4."/>
      <w:lvlJc w:val="left"/>
      <w:pPr>
        <w:ind w:left="2880" w:hanging="360"/>
      </w:pPr>
    </w:lvl>
    <w:lvl w:ilvl="4" w:tplc="67082CE2">
      <w:start w:val="1"/>
      <w:numFmt w:val="lowerLetter"/>
      <w:pStyle w:val="Heading5"/>
      <w:lvlText w:val="%5."/>
      <w:lvlJc w:val="left"/>
      <w:pPr>
        <w:ind w:left="3600" w:hanging="360"/>
      </w:pPr>
    </w:lvl>
    <w:lvl w:ilvl="5" w:tplc="2C2E5E98">
      <w:start w:val="1"/>
      <w:numFmt w:val="lowerRoman"/>
      <w:pStyle w:val="Heading6"/>
      <w:lvlText w:val="%6."/>
      <w:lvlJc w:val="right"/>
      <w:pPr>
        <w:ind w:left="4320" w:hanging="180"/>
      </w:pPr>
    </w:lvl>
    <w:lvl w:ilvl="6" w:tplc="800E0568">
      <w:start w:val="1"/>
      <w:numFmt w:val="decimal"/>
      <w:pStyle w:val="Heading7"/>
      <w:lvlText w:val="%7."/>
      <w:lvlJc w:val="left"/>
      <w:pPr>
        <w:ind w:left="5040" w:hanging="360"/>
      </w:pPr>
    </w:lvl>
    <w:lvl w:ilvl="7" w:tplc="C94631E0">
      <w:start w:val="1"/>
      <w:numFmt w:val="lowerLetter"/>
      <w:pStyle w:val="Heading8"/>
      <w:lvlText w:val="%8."/>
      <w:lvlJc w:val="left"/>
      <w:pPr>
        <w:ind w:left="5760" w:hanging="360"/>
      </w:pPr>
    </w:lvl>
    <w:lvl w:ilvl="8" w:tplc="A9C8EEFA">
      <w:start w:val="1"/>
      <w:numFmt w:val="lowerRoman"/>
      <w:pStyle w:val="Heading9"/>
      <w:lvlText w:val="%9."/>
      <w:lvlJc w:val="right"/>
      <w:pPr>
        <w:ind w:left="6480" w:hanging="180"/>
      </w:pPr>
    </w:lvl>
  </w:abstractNum>
  <w:abstractNum w:abstractNumId="2" w15:restartNumberingAfterBreak="0">
    <w:nsid w:val="77AF50A4"/>
    <w:multiLevelType w:val="hybridMultilevel"/>
    <w:tmpl w:val="B470B1E2"/>
    <w:lvl w:ilvl="0" w:tplc="B7C80E88">
      <w:start w:val="1"/>
      <w:numFmt w:val="bullet"/>
      <w:lvlText w:val=""/>
      <w:lvlJc w:val="left"/>
      <w:pPr>
        <w:ind w:left="720" w:hanging="360"/>
      </w:pPr>
      <w:rPr>
        <w:rFonts w:ascii="Symbol" w:hAnsi="Symbol" w:hint="default"/>
      </w:rPr>
    </w:lvl>
    <w:lvl w:ilvl="1" w:tplc="DCBEFFBE">
      <w:start w:val="1"/>
      <w:numFmt w:val="bullet"/>
      <w:lvlText w:val="o"/>
      <w:lvlJc w:val="left"/>
      <w:pPr>
        <w:ind w:left="1440" w:hanging="360"/>
      </w:pPr>
      <w:rPr>
        <w:rFonts w:ascii="Courier New" w:hAnsi="Courier New" w:cs="Courier New" w:hint="default"/>
      </w:rPr>
    </w:lvl>
    <w:lvl w:ilvl="2" w:tplc="C3CAA5EE">
      <w:start w:val="1"/>
      <w:numFmt w:val="bullet"/>
      <w:lvlText w:val=""/>
      <w:lvlJc w:val="left"/>
      <w:pPr>
        <w:ind w:left="2160" w:hanging="360"/>
      </w:pPr>
      <w:rPr>
        <w:rFonts w:ascii="Wingdings" w:hAnsi="Wingdings" w:hint="default"/>
      </w:rPr>
    </w:lvl>
    <w:lvl w:ilvl="3" w:tplc="2FEE2434">
      <w:start w:val="1"/>
      <w:numFmt w:val="bullet"/>
      <w:lvlText w:val=""/>
      <w:lvlJc w:val="left"/>
      <w:pPr>
        <w:ind w:left="2880" w:hanging="360"/>
      </w:pPr>
      <w:rPr>
        <w:rFonts w:ascii="Symbol" w:hAnsi="Symbol" w:hint="default"/>
      </w:rPr>
    </w:lvl>
    <w:lvl w:ilvl="4" w:tplc="2F8EA172">
      <w:start w:val="1"/>
      <w:numFmt w:val="bullet"/>
      <w:lvlText w:val="o"/>
      <w:lvlJc w:val="left"/>
      <w:pPr>
        <w:ind w:left="3600" w:hanging="360"/>
      </w:pPr>
      <w:rPr>
        <w:rFonts w:ascii="Courier New" w:hAnsi="Courier New" w:cs="Courier New" w:hint="default"/>
      </w:rPr>
    </w:lvl>
    <w:lvl w:ilvl="5" w:tplc="0046BB16">
      <w:start w:val="1"/>
      <w:numFmt w:val="bullet"/>
      <w:lvlText w:val=""/>
      <w:lvlJc w:val="left"/>
      <w:pPr>
        <w:ind w:left="4320" w:hanging="360"/>
      </w:pPr>
      <w:rPr>
        <w:rFonts w:ascii="Wingdings" w:hAnsi="Wingdings" w:hint="default"/>
      </w:rPr>
    </w:lvl>
    <w:lvl w:ilvl="6" w:tplc="EED87D60">
      <w:start w:val="1"/>
      <w:numFmt w:val="bullet"/>
      <w:lvlText w:val=""/>
      <w:lvlJc w:val="left"/>
      <w:pPr>
        <w:ind w:left="5040" w:hanging="360"/>
      </w:pPr>
      <w:rPr>
        <w:rFonts w:ascii="Symbol" w:hAnsi="Symbol" w:hint="default"/>
      </w:rPr>
    </w:lvl>
    <w:lvl w:ilvl="7" w:tplc="427AD17A">
      <w:start w:val="1"/>
      <w:numFmt w:val="bullet"/>
      <w:lvlText w:val="o"/>
      <w:lvlJc w:val="left"/>
      <w:pPr>
        <w:ind w:left="5760" w:hanging="360"/>
      </w:pPr>
      <w:rPr>
        <w:rFonts w:ascii="Courier New" w:hAnsi="Courier New" w:cs="Courier New" w:hint="default"/>
      </w:rPr>
    </w:lvl>
    <w:lvl w:ilvl="8" w:tplc="F4E6C69C">
      <w:start w:val="1"/>
      <w:numFmt w:val="bullet"/>
      <w:lvlText w:val=""/>
      <w:lvlJc w:val="left"/>
      <w:pPr>
        <w:ind w:left="6480" w:hanging="360"/>
      </w:pPr>
      <w:rPr>
        <w:rFonts w:ascii="Wingdings" w:hAnsi="Wingdings" w:hint="default"/>
      </w:rPr>
    </w:lvl>
  </w:abstractNum>
  <w:num w:numId="1" w16cid:durableId="432021674">
    <w:abstractNumId w:val="1"/>
  </w:num>
  <w:num w:numId="2" w16cid:durableId="1542861923">
    <w:abstractNumId w:val="0"/>
  </w:num>
  <w:num w:numId="3" w16cid:durableId="1405957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F5"/>
    <w:rsid w:val="001B4012"/>
    <w:rsid w:val="00431557"/>
    <w:rsid w:val="004D2C07"/>
    <w:rsid w:val="00843B10"/>
    <w:rsid w:val="00985E66"/>
    <w:rsid w:val="00D76FD4"/>
    <w:rsid w:val="00F972F5"/>
    <w:rsid w:val="00FA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F6E2E"/>
  <w15:docId w15:val="{99D7BD1D-A8A4-462F-B6A8-A18D9964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Myriad Pro" w:eastAsia="Open Sans" w:hAnsi="Myriad Pro" w:cs="Open Sans"/>
      <w:bCs/>
      <w:iCs/>
      <w:color w:val="000000"/>
      <w:sz w:val="20"/>
      <w:szCs w:val="20"/>
      <w14:ligatures w14:val="none"/>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Myriad Pro" w:eastAsia="Open Sans" w:hAnsi="Myriad Pro" w:cs="Open Sans"/>
      <w:bCs/>
      <w:iCs/>
      <w:color w:val="000000"/>
      <w:sz w:val="32"/>
      <w:szCs w:val="48"/>
      <w14:ligatures w14:val="none"/>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14:ligatures w14:val="none"/>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14:ligatures w14:val="none"/>
    </w:rPr>
  </w:style>
  <w:style w:type="character" w:customStyle="1" w:styleId="Heading4Char">
    <w:name w:val="Heading 4 Char"/>
    <w:basedOn w:val="DefaultParagraphFont"/>
    <w:link w:val="Heading4"/>
    <w:uiPriority w:val="9"/>
    <w:rPr>
      <w:rFonts w:ascii="Myriad Pro" w:eastAsia="Open Sans" w:hAnsi="Myriad Pro" w:cs="Open Sans"/>
      <w:b/>
      <w:sz w:val="24"/>
      <w:szCs w:val="24"/>
      <w14:ligatures w14:val="none"/>
    </w:rPr>
  </w:style>
  <w:style w:type="character" w:customStyle="1" w:styleId="Heading5Char">
    <w:name w:val="Heading 5 Char"/>
    <w:basedOn w:val="DefaultParagraphFont"/>
    <w:link w:val="Heading5"/>
    <w:uiPriority w:val="9"/>
    <w:semiHidden/>
    <w:rPr>
      <w:rFonts w:ascii="Open Sans" w:eastAsia="Open Sans" w:hAnsi="Open Sans" w:cs="Open Sans"/>
      <w:b/>
      <w14:ligatures w14:val="none"/>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14:ligatures w14:val="none"/>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14:ligatures w14:val="none"/>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14:ligatures w14:val="none"/>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14:ligatures w14:val="none"/>
    </w:rPr>
  </w:style>
  <w:style w:type="table" w:styleId="TableGrid">
    <w:name w:val="Table Grid"/>
    <w:basedOn w:val="TableNormal"/>
    <w:uiPriority w:val="39"/>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Myriad Pro" w:eastAsia="Open Sans" w:hAnsi="Myriad Pro" w:cs="Open Sans"/>
      <w:bCs/>
      <w:iCs/>
      <w:color w:val="000000"/>
      <w:sz w:val="20"/>
      <w:szCs w:val="20"/>
      <w14:ligatures w14:val="none"/>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Myriad Pro" w:eastAsia="Open Sans" w:hAnsi="Myriad Pro" w:cs="Open Sans"/>
      <w:b/>
      <w:bCs/>
      <w:iCs/>
      <w:color w:val="000000"/>
      <w:sz w:val="20"/>
      <w:szCs w:val="20"/>
      <w14:ligatures w14:val="non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Myriad Pro" w:eastAsia="Open Sans" w:hAnsi="Myriad Pro" w:cs="Open Sans"/>
      <w:bCs/>
      <w:iCs/>
      <w:color w:val="000000"/>
      <w:sz w:val="20"/>
      <w:szCs w:val="20"/>
      <w14:ligatures w14:val="none"/>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14:ligatures w14:val="none"/>
    </w:r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14:ligatures w14:val="none"/>
    </w:rPr>
  </w:style>
  <w:style w:type="paragraph" w:customStyle="1" w:styleId="Footer1">
    <w:name w:val="Footer1"/>
    <w:basedOn w:val="Footer"/>
    <w:link w:val="footerChar0"/>
    <w:qFormat/>
    <w:rsid w:val="00D76FD4"/>
    <w:pPr>
      <w:pBdr>
        <w:top w:val="none" w:sz="0" w:space="0" w:color="auto"/>
        <w:left w:val="none" w:sz="0" w:space="0" w:color="auto"/>
        <w:bottom w:val="none" w:sz="0" w:space="0" w:color="auto"/>
        <w:right w:val="none" w:sz="0" w:space="0" w:color="auto"/>
        <w:between w:val="none" w:sz="0" w:space="0" w:color="auto"/>
      </w:pBd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D76FD4"/>
    <w:rPr>
      <w:rFonts w:ascii="Arial" w:eastAsiaTheme="minorEastAsia" w:hAnsi="Arial" w:cs="Arial"/>
      <w:bCs w:val="0"/>
      <w:iCs w:val="0"/>
      <w:color w:val="000000"/>
      <w:sz w:val="18"/>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Marie-Therese Baehr</cp:lastModifiedBy>
  <cp:revision>6</cp:revision>
  <dcterms:created xsi:type="dcterms:W3CDTF">2023-10-30T09:14:00Z</dcterms:created>
  <dcterms:modified xsi:type="dcterms:W3CDTF">2024-06-27T13:30:00Z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85d32217de65a270462dc7f0e7cfd2b1b3a21899463cf15442c5948b12d1f14a</vt:lpwstr>
  </property>
</Properties>
</file>